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B4F" w:rsidRDefault="00276B0C" w:rsidP="00735CA5">
      <w:pPr>
        <w:jc w:val="center"/>
      </w:pPr>
      <w:bookmarkStart w:id="0" w:name="_GoBack"/>
      <w:bookmarkEnd w:id="0"/>
      <w:r>
        <w:t>Attachment 1</w:t>
      </w:r>
    </w:p>
    <w:p w:rsidR="00735CA5" w:rsidRPr="00735CA5" w:rsidRDefault="00735CA5" w:rsidP="00735CA5">
      <w:pPr>
        <w:jc w:val="center"/>
      </w:pPr>
      <w:r w:rsidRPr="00735CA5">
        <w:t xml:space="preserve">Global Harmonization System (GHS) for Chemical Labelling </w:t>
      </w:r>
      <w:proofErr w:type="spellStart"/>
      <w:r w:rsidRPr="00735CA5">
        <w:t>SmartForm</w:t>
      </w:r>
      <w:proofErr w:type="spellEnd"/>
    </w:p>
    <w:p w:rsidR="00276B0C" w:rsidRDefault="00276B0C" w:rsidP="003E2220">
      <w:pPr>
        <w:jc w:val="center"/>
      </w:pPr>
      <w:r w:rsidRPr="00276B0C">
        <w:t xml:space="preserve">Industry Input </w:t>
      </w:r>
      <w:r>
        <w:t>–</w:t>
      </w:r>
      <w:r w:rsidRPr="00276B0C">
        <w:t xml:space="preserve"> </w:t>
      </w:r>
      <w:r w:rsidR="00CF3B6F" w:rsidRPr="00CF3B6F">
        <w:t xml:space="preserve">Agricultural Chemicals </w:t>
      </w:r>
      <w:r w:rsidR="00CF3B6F">
        <w:t>(</w:t>
      </w:r>
      <w:r w:rsidRPr="00276B0C">
        <w:t>ACS</w:t>
      </w:r>
      <w:r w:rsidR="00CF3B6F">
        <w:t>)</w:t>
      </w:r>
    </w:p>
    <w:p w:rsidR="00276B0C" w:rsidRDefault="00276B0C"/>
    <w:p w:rsidR="00276B0C" w:rsidRDefault="00276B0C" w:rsidP="00276B0C">
      <w:proofErr w:type="spellStart"/>
      <w:r>
        <w:t>Organisation</w:t>
      </w:r>
      <w:proofErr w:type="spellEnd"/>
      <w:r>
        <w:t>/Agency: API</w:t>
      </w:r>
    </w:p>
    <w:p w:rsidR="00276B0C" w:rsidRDefault="00276B0C" w:rsidP="00276B0C">
      <w:r>
        <w:t>Name: Derek Swick</w:t>
      </w:r>
    </w:p>
    <w:p w:rsidR="00276B0C" w:rsidRDefault="00276B0C" w:rsidP="00276B0C">
      <w:r>
        <w:t xml:space="preserve">Phone number: </w:t>
      </w:r>
      <w:r w:rsidRPr="006921A9">
        <w:t>+1 202 682 8341</w:t>
      </w:r>
    </w:p>
    <w:p w:rsidR="00276B0C" w:rsidRDefault="00276B0C" w:rsidP="00276B0C">
      <w:r>
        <w:t xml:space="preserve">Email address: </w:t>
      </w:r>
      <w:r w:rsidRPr="006921A9">
        <w:t>swickd@api.org</w:t>
      </w:r>
    </w:p>
    <w:p w:rsidR="00276B0C" w:rsidRDefault="00276B0C"/>
    <w:p w:rsidR="00276B0C" w:rsidRDefault="00276B0C"/>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2"/>
      </w:tblGrid>
      <w:tr w:rsidR="00276B0C" w:rsidRPr="00276B0C" w:rsidTr="00EA12CF">
        <w:tc>
          <w:tcPr>
            <w:tcW w:w="9242" w:type="dxa"/>
          </w:tcPr>
          <w:p w:rsidR="00276B0C" w:rsidRPr="00276B0C" w:rsidRDefault="00276B0C" w:rsidP="00276B0C">
            <w:pPr>
              <w:rPr>
                <w:rFonts w:ascii="Arial" w:eastAsia="Calibri" w:hAnsi="Arial" w:cs="Arial"/>
                <w:sz w:val="20"/>
                <w:szCs w:val="20"/>
              </w:rPr>
            </w:pPr>
            <w:r w:rsidRPr="00276B0C">
              <w:rPr>
                <w:rFonts w:ascii="Arial" w:eastAsia="Calibri" w:hAnsi="Arial" w:cs="Arial"/>
                <w:sz w:val="20"/>
                <w:szCs w:val="20"/>
              </w:rPr>
              <w:t xml:space="preserve">Has it been easy to access all necessary information for compliance? </w:t>
            </w:r>
          </w:p>
        </w:tc>
      </w:tr>
      <w:tr w:rsidR="00276B0C" w:rsidRPr="00276B0C" w:rsidTr="00EA12CF">
        <w:tc>
          <w:tcPr>
            <w:tcW w:w="9242" w:type="dxa"/>
          </w:tcPr>
          <w:p w:rsidR="00276B0C" w:rsidRPr="00276B0C" w:rsidRDefault="00276B0C" w:rsidP="00276B0C">
            <w:pPr>
              <w:rPr>
                <w:rFonts w:ascii="Arial" w:eastAsia="Calibri" w:hAnsi="Arial" w:cs="Arial"/>
                <w:b/>
                <w:sz w:val="20"/>
                <w:szCs w:val="20"/>
                <w:u w:val="single"/>
              </w:rPr>
            </w:pPr>
            <w:r w:rsidRPr="00276B0C">
              <w:rPr>
                <w:rFonts w:ascii="Arial" w:eastAsia="Calibri" w:hAnsi="Arial" w:cs="Arial"/>
                <w:b/>
                <w:sz w:val="20"/>
                <w:szCs w:val="20"/>
                <w:u w:val="single"/>
              </w:rPr>
              <w:t>U.S. Issues</w:t>
            </w:r>
          </w:p>
          <w:p w:rsidR="00276B0C" w:rsidRPr="00276B0C" w:rsidRDefault="00276B0C" w:rsidP="00276B0C">
            <w:pPr>
              <w:rPr>
                <w:rFonts w:ascii="Arial" w:eastAsia="Calibri" w:hAnsi="Arial" w:cs="Arial"/>
                <w:sz w:val="20"/>
                <w:szCs w:val="20"/>
              </w:rPr>
            </w:pPr>
            <w:r w:rsidRPr="00276B0C">
              <w:rPr>
                <w:rFonts w:ascii="Arial" w:eastAsia="Calibri" w:hAnsi="Arial" w:cs="Arial"/>
                <w:sz w:val="20"/>
                <w:szCs w:val="20"/>
              </w:rPr>
              <w:t xml:space="preserve">The U.S. EPA has not yet implemented the GHS for agricultural chemicals (e.g., pesticides). The GHS information on the U.S. EPA website and in EPA presentations had been informative but has not been updated recently. As EPA starts to incorporate GHS elements into its regulations, it should be clear to stakeholders when EPA is aligning with OSHA </w:t>
            </w:r>
            <w:proofErr w:type="spellStart"/>
            <w:r w:rsidRPr="00276B0C">
              <w:rPr>
                <w:rFonts w:ascii="Arial" w:eastAsia="Calibri" w:hAnsi="Arial" w:cs="Arial"/>
                <w:sz w:val="20"/>
                <w:szCs w:val="20"/>
              </w:rPr>
              <w:t>HazCom</w:t>
            </w:r>
            <w:proofErr w:type="spellEnd"/>
            <w:r w:rsidRPr="00276B0C">
              <w:rPr>
                <w:rFonts w:ascii="Arial" w:eastAsia="Calibri" w:hAnsi="Arial" w:cs="Arial"/>
                <w:sz w:val="20"/>
                <w:szCs w:val="20"/>
              </w:rPr>
              <w:t xml:space="preserve"> 2012/GHS and when the EPA requirements deviate from OSHA/GHS, e.g., the proposed updates and revisions to the worker protection regulation for pesticides.</w:t>
            </w:r>
          </w:p>
          <w:p w:rsidR="00276B0C" w:rsidRPr="00276B0C" w:rsidRDefault="00276B0C" w:rsidP="00276B0C">
            <w:pPr>
              <w:rPr>
                <w:rFonts w:ascii="Arial" w:eastAsia="Calibri" w:hAnsi="Arial" w:cs="Arial"/>
                <w:sz w:val="20"/>
                <w:szCs w:val="20"/>
              </w:rPr>
            </w:pPr>
          </w:p>
          <w:p w:rsidR="00276B0C" w:rsidRPr="00276B0C" w:rsidRDefault="00276B0C" w:rsidP="00276B0C">
            <w:pPr>
              <w:rPr>
                <w:rFonts w:ascii="Arial" w:eastAsia="Calibri" w:hAnsi="Arial" w:cs="Arial"/>
                <w:sz w:val="20"/>
                <w:szCs w:val="20"/>
              </w:rPr>
            </w:pPr>
            <w:r w:rsidRPr="00276B0C">
              <w:rPr>
                <w:rFonts w:ascii="Arial" w:eastAsia="Calibri" w:hAnsi="Arial" w:cs="Arial"/>
                <w:sz w:val="20"/>
                <w:szCs w:val="20"/>
              </w:rPr>
              <w:t>After OSHA published their final GHS Rule, the EPA published a timely Pesticide Registration Notice to aid in explaining the potential differences in pesticide and industrial sector labeling.</w:t>
            </w:r>
          </w:p>
          <w:p w:rsidR="00276B0C" w:rsidRPr="00276B0C" w:rsidRDefault="00276B0C" w:rsidP="00276B0C">
            <w:pPr>
              <w:rPr>
                <w:rFonts w:ascii="Arial" w:eastAsia="Calibri" w:hAnsi="Arial" w:cs="Arial"/>
                <w:sz w:val="20"/>
                <w:szCs w:val="20"/>
              </w:rPr>
            </w:pPr>
          </w:p>
          <w:p w:rsidR="00276B0C" w:rsidRPr="00276B0C" w:rsidRDefault="00276B0C" w:rsidP="00276B0C">
            <w:pPr>
              <w:rPr>
                <w:rFonts w:ascii="Arial" w:eastAsia="Calibri" w:hAnsi="Arial" w:cs="Arial"/>
                <w:sz w:val="20"/>
                <w:szCs w:val="20"/>
              </w:rPr>
            </w:pPr>
            <w:r w:rsidRPr="00276B0C">
              <w:rPr>
                <w:rFonts w:ascii="Arial" w:eastAsia="Calibri" w:hAnsi="Arial" w:cs="Arial"/>
                <w:sz w:val="20"/>
                <w:szCs w:val="20"/>
              </w:rPr>
              <w:t xml:space="preserve">EPA has recently published information revising their EPCRA/SARA 311-312 Tier I/Tier II (40 CFR 370.66) reporting requirements to align with the new OSHA </w:t>
            </w:r>
            <w:proofErr w:type="spellStart"/>
            <w:r w:rsidRPr="00276B0C">
              <w:rPr>
                <w:rFonts w:ascii="Arial" w:eastAsia="Calibri" w:hAnsi="Arial" w:cs="Arial"/>
                <w:sz w:val="20"/>
                <w:szCs w:val="20"/>
              </w:rPr>
              <w:t>HazCom</w:t>
            </w:r>
            <w:proofErr w:type="spellEnd"/>
            <w:r w:rsidRPr="00276B0C">
              <w:rPr>
                <w:rFonts w:ascii="Arial" w:eastAsia="Calibri" w:hAnsi="Arial" w:cs="Arial"/>
                <w:sz w:val="20"/>
                <w:szCs w:val="20"/>
              </w:rPr>
              <w:t xml:space="preserve"> 2012 hazards.</w:t>
            </w:r>
          </w:p>
          <w:p w:rsidR="00276B0C" w:rsidRPr="00276B0C" w:rsidRDefault="00276B0C" w:rsidP="00276B0C">
            <w:pPr>
              <w:rPr>
                <w:rFonts w:ascii="Arial" w:eastAsia="Calibri" w:hAnsi="Arial" w:cs="Arial"/>
                <w:sz w:val="20"/>
                <w:szCs w:val="20"/>
              </w:rPr>
            </w:pPr>
          </w:p>
          <w:p w:rsidR="00276B0C" w:rsidRPr="00276B0C" w:rsidRDefault="00276B0C" w:rsidP="00276B0C">
            <w:pPr>
              <w:rPr>
                <w:rFonts w:ascii="Arial" w:eastAsia="Calibri" w:hAnsi="Arial" w:cs="Arial"/>
                <w:sz w:val="20"/>
                <w:szCs w:val="20"/>
              </w:rPr>
            </w:pPr>
          </w:p>
          <w:p w:rsidR="00276B0C" w:rsidRPr="00276B0C" w:rsidRDefault="00276B0C" w:rsidP="00276B0C">
            <w:pPr>
              <w:rPr>
                <w:rFonts w:ascii="Arial" w:eastAsia="Calibri" w:hAnsi="Arial" w:cs="Arial"/>
                <w:b/>
                <w:sz w:val="20"/>
                <w:szCs w:val="20"/>
                <w:u w:val="single"/>
              </w:rPr>
            </w:pPr>
            <w:r w:rsidRPr="00276B0C">
              <w:rPr>
                <w:rFonts w:ascii="Arial" w:eastAsia="Calibri" w:hAnsi="Arial" w:cs="Arial"/>
                <w:b/>
                <w:sz w:val="20"/>
                <w:szCs w:val="20"/>
                <w:u w:val="single"/>
              </w:rPr>
              <w:t>Global Issues:</w:t>
            </w:r>
          </w:p>
          <w:p w:rsidR="00276B0C" w:rsidRPr="00276B0C" w:rsidRDefault="00276B0C" w:rsidP="00276B0C">
            <w:pPr>
              <w:rPr>
                <w:rFonts w:ascii="Arial" w:eastAsia="Calibri" w:hAnsi="Arial" w:cs="Arial"/>
                <w:sz w:val="20"/>
                <w:szCs w:val="20"/>
                <w:lang w:val="en-AU"/>
              </w:rPr>
            </w:pPr>
            <w:r w:rsidRPr="00276B0C">
              <w:rPr>
                <w:rFonts w:ascii="Arial" w:eastAsia="Calibri" w:hAnsi="Arial" w:cs="Arial"/>
                <w:sz w:val="20"/>
                <w:szCs w:val="20"/>
                <w:lang w:val="en-AU"/>
              </w:rPr>
              <w:t xml:space="preserve">It is not always possible to keep up to date and find the necessary GHS compliance information from some APEC economies. Also, it is not always easy to understand which sectors are covered by the implementing regulations/legislation/standards. Some countries/economies have limited access to regulations, information, and/or websites to domestic companies only. This is contrary to the objectives of the GHS and may constitute a trade barrier. </w:t>
            </w:r>
          </w:p>
          <w:p w:rsidR="00276B0C" w:rsidRPr="00276B0C" w:rsidRDefault="00276B0C" w:rsidP="00276B0C">
            <w:pPr>
              <w:rPr>
                <w:rFonts w:ascii="Arial" w:eastAsia="Calibri" w:hAnsi="Arial" w:cs="Arial"/>
                <w:sz w:val="20"/>
                <w:szCs w:val="20"/>
                <w:lang w:val="en-AU"/>
              </w:rPr>
            </w:pPr>
          </w:p>
          <w:p w:rsidR="00276B0C" w:rsidRPr="00276B0C" w:rsidRDefault="00276B0C" w:rsidP="00276B0C">
            <w:pPr>
              <w:rPr>
                <w:rFonts w:ascii="Arial" w:eastAsia="Calibri" w:hAnsi="Arial" w:cs="Arial"/>
                <w:sz w:val="20"/>
                <w:szCs w:val="20"/>
                <w:lang w:val="en-AU"/>
              </w:rPr>
            </w:pPr>
            <w:r w:rsidRPr="00276B0C">
              <w:rPr>
                <w:rFonts w:ascii="Arial" w:eastAsia="Calibri" w:hAnsi="Arial" w:cs="Arial"/>
                <w:sz w:val="20"/>
                <w:szCs w:val="20"/>
                <w:lang w:val="en-AU"/>
              </w:rPr>
              <w:t>Even when the regulations/legislation/standards are available, all of the information that is required for compliance is not always specified. For example, the GHS includes several options for mixture cut-off values and some countries include all options without specifying which is appropriate for compliance.</w:t>
            </w:r>
          </w:p>
          <w:p w:rsidR="00276B0C" w:rsidRPr="00276B0C" w:rsidRDefault="00276B0C" w:rsidP="00276B0C">
            <w:pPr>
              <w:rPr>
                <w:rFonts w:ascii="Arial" w:eastAsia="Calibri" w:hAnsi="Arial" w:cs="Arial"/>
                <w:sz w:val="20"/>
                <w:szCs w:val="20"/>
                <w:lang w:val="en-AU"/>
              </w:rPr>
            </w:pPr>
          </w:p>
          <w:p w:rsidR="00276B0C" w:rsidRPr="00276B0C" w:rsidRDefault="00276B0C" w:rsidP="00276B0C">
            <w:pPr>
              <w:rPr>
                <w:rFonts w:ascii="Arial" w:eastAsia="Calibri" w:hAnsi="Arial" w:cs="Arial"/>
                <w:sz w:val="20"/>
                <w:szCs w:val="20"/>
                <w:lang w:val="en-AU"/>
              </w:rPr>
            </w:pPr>
            <w:r w:rsidRPr="00276B0C">
              <w:rPr>
                <w:rFonts w:ascii="Arial" w:eastAsia="Calibri" w:hAnsi="Arial" w:cs="Arial"/>
                <w:sz w:val="20"/>
                <w:szCs w:val="20"/>
                <w:lang w:val="en-AU"/>
              </w:rPr>
              <w:t xml:space="preserve">Sometimes implementation dates are published, but the related implementing regulations are not yet finalized, or the regulations are finalized but the transition period and implementation dates are not clear. </w:t>
            </w:r>
            <w:r w:rsidRPr="00276B0C">
              <w:rPr>
                <w:rFonts w:ascii="Arial" w:eastAsia="Calibri" w:hAnsi="Arial" w:cs="Arial"/>
                <w:sz w:val="20"/>
                <w:szCs w:val="20"/>
              </w:rPr>
              <w:t>Only the EU CLP has a clear schedule for implementing updates to the GHS via their ATP process.</w:t>
            </w:r>
          </w:p>
          <w:p w:rsidR="00276B0C" w:rsidRPr="00276B0C" w:rsidRDefault="00276B0C" w:rsidP="00276B0C">
            <w:pPr>
              <w:rPr>
                <w:rFonts w:ascii="Arial" w:eastAsia="Calibri" w:hAnsi="Arial" w:cs="Arial"/>
                <w:sz w:val="20"/>
                <w:szCs w:val="20"/>
                <w:lang w:val="en-AU"/>
              </w:rPr>
            </w:pPr>
          </w:p>
          <w:p w:rsidR="00276B0C" w:rsidRPr="00276B0C" w:rsidRDefault="00276B0C" w:rsidP="00276B0C">
            <w:pPr>
              <w:rPr>
                <w:rFonts w:ascii="Arial" w:eastAsia="Calibri" w:hAnsi="Arial" w:cs="Arial"/>
                <w:sz w:val="20"/>
                <w:szCs w:val="20"/>
                <w:lang w:val="en-AU"/>
              </w:rPr>
            </w:pPr>
            <w:r w:rsidRPr="00276B0C">
              <w:rPr>
                <w:rFonts w:ascii="Arial" w:eastAsia="Calibri" w:hAnsi="Arial" w:cs="Arial"/>
                <w:sz w:val="20"/>
                <w:szCs w:val="20"/>
                <w:lang w:val="en-AU"/>
              </w:rPr>
              <w:t xml:space="preserve">In the case of pesticides, the FAO and WHO guidelines addressing classification and labelling of pesticides which take account of GHS provisions (2016 </w:t>
            </w:r>
            <w:r w:rsidRPr="00276B0C">
              <w:rPr>
                <w:rFonts w:ascii="Arial" w:eastAsia="Calibri" w:hAnsi="Arial" w:cs="Arial"/>
                <w:i/>
                <w:sz w:val="20"/>
                <w:szCs w:val="20"/>
                <w:lang w:val="en-AU"/>
              </w:rPr>
              <w:t>FAO</w:t>
            </w:r>
            <w:r w:rsidRPr="00276B0C">
              <w:rPr>
                <w:rFonts w:ascii="Arial" w:eastAsia="Calibri" w:hAnsi="Arial" w:cs="Arial"/>
                <w:sz w:val="20"/>
                <w:szCs w:val="20"/>
                <w:lang w:val="en-AU"/>
              </w:rPr>
              <w:t xml:space="preserve"> </w:t>
            </w:r>
            <w:r w:rsidRPr="00276B0C">
              <w:rPr>
                <w:rFonts w:ascii="Arial" w:eastAsia="Calibri" w:hAnsi="Arial" w:cs="Arial"/>
                <w:i/>
                <w:sz w:val="20"/>
                <w:szCs w:val="20"/>
                <w:lang w:val="en-AU"/>
              </w:rPr>
              <w:t>Guidelines on highly hazardous pesticides</w:t>
            </w:r>
            <w:r w:rsidRPr="00276B0C">
              <w:rPr>
                <w:rFonts w:ascii="Arial" w:eastAsia="Calibri" w:hAnsi="Arial" w:cs="Arial"/>
                <w:sz w:val="20"/>
                <w:szCs w:val="20"/>
                <w:lang w:val="en-AU"/>
              </w:rPr>
              <w:t xml:space="preserve">, 2015 </w:t>
            </w:r>
            <w:r w:rsidRPr="00276B0C">
              <w:rPr>
                <w:rFonts w:ascii="Arial" w:eastAsia="Calibri" w:hAnsi="Arial" w:cs="Arial"/>
                <w:i/>
                <w:sz w:val="20"/>
                <w:szCs w:val="20"/>
                <w:lang w:val="en-AU"/>
              </w:rPr>
              <w:t>FAO</w:t>
            </w:r>
            <w:r w:rsidRPr="00276B0C">
              <w:rPr>
                <w:rFonts w:ascii="Arial" w:eastAsia="Calibri" w:hAnsi="Arial" w:cs="Arial"/>
                <w:sz w:val="20"/>
                <w:szCs w:val="20"/>
                <w:lang w:val="en-AU"/>
              </w:rPr>
              <w:t xml:space="preserve"> </w:t>
            </w:r>
            <w:r w:rsidRPr="00276B0C">
              <w:rPr>
                <w:rFonts w:ascii="Arial" w:eastAsia="Calibri" w:hAnsi="Arial" w:cs="Arial"/>
                <w:i/>
                <w:sz w:val="20"/>
                <w:szCs w:val="20"/>
                <w:lang w:val="en-AU"/>
              </w:rPr>
              <w:t>Guidelines on good labelling practice for pesticides</w:t>
            </w:r>
            <w:r w:rsidRPr="00276B0C">
              <w:rPr>
                <w:rFonts w:ascii="Arial" w:eastAsia="Calibri" w:hAnsi="Arial" w:cs="Arial"/>
                <w:sz w:val="20"/>
                <w:szCs w:val="20"/>
                <w:lang w:val="en-AU"/>
              </w:rPr>
              <w:t xml:space="preserve">, 2009 </w:t>
            </w:r>
            <w:r w:rsidRPr="00276B0C">
              <w:rPr>
                <w:rFonts w:ascii="Arial" w:eastAsia="Calibri" w:hAnsi="Arial" w:cs="Arial"/>
                <w:i/>
                <w:sz w:val="20"/>
                <w:szCs w:val="20"/>
                <w:lang w:val="en-AU"/>
              </w:rPr>
              <w:t>WHO recommended classification of pesticides by hazard and guidelines to classification</w:t>
            </w:r>
            <w:r w:rsidRPr="00276B0C">
              <w:rPr>
                <w:rFonts w:ascii="Arial" w:eastAsia="Calibri" w:hAnsi="Arial" w:cs="Arial"/>
                <w:sz w:val="20"/>
                <w:szCs w:val="20"/>
                <w:lang w:val="en-AU"/>
              </w:rPr>
              <w:t>) are available on-line. These publications should be promoted globally to assist harmonized GHS implementation in the agriculture sector.</w:t>
            </w:r>
          </w:p>
          <w:p w:rsidR="00276B0C" w:rsidRPr="00276B0C" w:rsidRDefault="00276B0C" w:rsidP="00276B0C">
            <w:pPr>
              <w:rPr>
                <w:rFonts w:ascii="Arial" w:eastAsia="Calibri" w:hAnsi="Arial" w:cs="Arial"/>
                <w:b/>
                <w:sz w:val="20"/>
                <w:szCs w:val="20"/>
              </w:rPr>
            </w:pPr>
          </w:p>
        </w:tc>
      </w:tr>
      <w:tr w:rsidR="00276B0C" w:rsidRPr="00276B0C" w:rsidTr="00EA12CF">
        <w:tc>
          <w:tcPr>
            <w:tcW w:w="9242" w:type="dxa"/>
          </w:tcPr>
          <w:p w:rsidR="00276B0C" w:rsidRPr="00276B0C" w:rsidRDefault="00276B0C" w:rsidP="00276B0C">
            <w:pPr>
              <w:rPr>
                <w:rFonts w:ascii="Arial" w:eastAsia="Calibri" w:hAnsi="Arial" w:cs="Arial"/>
                <w:sz w:val="20"/>
                <w:szCs w:val="20"/>
              </w:rPr>
            </w:pPr>
            <w:r w:rsidRPr="00276B0C">
              <w:rPr>
                <w:rFonts w:ascii="Arial" w:eastAsia="Calibri" w:hAnsi="Arial" w:cs="Arial"/>
                <w:sz w:val="20"/>
                <w:szCs w:val="20"/>
              </w:rPr>
              <w:t>Do you see any specific issues that are limiting the progress of GHS implementation?</w:t>
            </w:r>
          </w:p>
        </w:tc>
      </w:tr>
      <w:tr w:rsidR="00276B0C" w:rsidRPr="00276B0C" w:rsidTr="00EA12CF">
        <w:tc>
          <w:tcPr>
            <w:tcW w:w="9242" w:type="dxa"/>
          </w:tcPr>
          <w:p w:rsidR="00276B0C" w:rsidRPr="00276B0C" w:rsidRDefault="00276B0C" w:rsidP="00276B0C">
            <w:pPr>
              <w:numPr>
                <w:ilvl w:val="0"/>
                <w:numId w:val="1"/>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 xml:space="preserve">GHS implementation for the labelling of agricultural pesticides is still at an early stage world-wide. For pesticides, the inclusion of GHS information in the </w:t>
            </w:r>
            <w:r w:rsidRPr="00276B0C">
              <w:rPr>
                <w:rFonts w:ascii="Arial" w:eastAsia="Calibri" w:hAnsi="Arial" w:cs="Arial"/>
                <w:i/>
                <w:sz w:val="20"/>
                <w:szCs w:val="20"/>
                <w:lang w:val="en-AU"/>
              </w:rPr>
              <w:t>FAO Guidelines on Good Labelling Practice for Pesticides</w:t>
            </w:r>
            <w:r w:rsidRPr="00276B0C">
              <w:rPr>
                <w:rFonts w:ascii="Arial" w:eastAsia="Calibri" w:hAnsi="Arial" w:cs="Arial"/>
                <w:sz w:val="20"/>
                <w:szCs w:val="20"/>
                <w:lang w:val="en-AU"/>
              </w:rPr>
              <w:t xml:space="preserve">, the </w:t>
            </w:r>
            <w:r w:rsidRPr="00276B0C">
              <w:rPr>
                <w:rFonts w:ascii="Arial" w:eastAsia="Calibri" w:hAnsi="Arial" w:cs="Arial"/>
                <w:i/>
                <w:sz w:val="20"/>
                <w:szCs w:val="20"/>
                <w:lang w:val="en-AU"/>
              </w:rPr>
              <w:t xml:space="preserve">FAO Guidelines on Highly Hazardous Pesticides </w:t>
            </w:r>
            <w:r w:rsidRPr="00276B0C">
              <w:rPr>
                <w:rFonts w:ascii="Arial" w:eastAsia="Calibri" w:hAnsi="Arial" w:cs="Arial"/>
                <w:sz w:val="20"/>
                <w:szCs w:val="20"/>
                <w:lang w:val="en-AU"/>
              </w:rPr>
              <w:t xml:space="preserve">and </w:t>
            </w:r>
            <w:r w:rsidRPr="00276B0C">
              <w:rPr>
                <w:rFonts w:ascii="Arial" w:eastAsia="Calibri" w:hAnsi="Arial" w:cs="Arial"/>
                <w:i/>
                <w:sz w:val="20"/>
                <w:szCs w:val="20"/>
                <w:lang w:val="en-AU"/>
              </w:rPr>
              <w:t xml:space="preserve">WHO </w:t>
            </w:r>
            <w:r w:rsidRPr="00276B0C">
              <w:rPr>
                <w:rFonts w:ascii="Arial" w:eastAsia="Calibri" w:hAnsi="Arial" w:cs="Arial"/>
                <w:i/>
                <w:sz w:val="20"/>
                <w:szCs w:val="20"/>
                <w:lang w:val="en-AU"/>
              </w:rPr>
              <w:lastRenderedPageBreak/>
              <w:t>Recommended Classification of Pesticides</w:t>
            </w:r>
            <w:r w:rsidRPr="00276B0C">
              <w:rPr>
                <w:rFonts w:ascii="Arial" w:eastAsia="Calibri" w:hAnsi="Arial" w:cs="Arial"/>
                <w:sz w:val="20"/>
                <w:szCs w:val="20"/>
                <w:lang w:val="en-AU"/>
              </w:rPr>
              <w:t xml:space="preserve"> publications is a step forward for GHS implementation. The APEC Chemical Dialogue could consider working with the UNSCEGHS, FAO and WHO to promote and disseminate this information. </w:t>
            </w:r>
          </w:p>
          <w:p w:rsidR="00276B0C" w:rsidRPr="00276B0C" w:rsidRDefault="00276B0C" w:rsidP="00276B0C">
            <w:pPr>
              <w:numPr>
                <w:ilvl w:val="0"/>
                <w:numId w:val="1"/>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 xml:space="preserve">The use of </w:t>
            </w:r>
            <w:r w:rsidRPr="00276B0C">
              <w:rPr>
                <w:rFonts w:ascii="Arial" w:eastAsia="Calibri" w:hAnsi="Arial" w:cs="Arial"/>
                <w:sz w:val="20"/>
                <w:szCs w:val="20"/>
              </w:rPr>
              <w:t>risk-based labeling could also be an implementation issue.</w:t>
            </w:r>
          </w:p>
          <w:p w:rsidR="00276B0C" w:rsidRPr="00276B0C" w:rsidRDefault="00276B0C" w:rsidP="00276B0C">
            <w:pPr>
              <w:numPr>
                <w:ilvl w:val="0"/>
                <w:numId w:val="1"/>
              </w:numPr>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 xml:space="preserve">To achieve the goal of harmonization and reap the associated benefits, governments should align with the GHS as negotiated and seek to implement it in a manner that minimizes differences among countries. </w:t>
            </w:r>
          </w:p>
          <w:p w:rsidR="00276B0C" w:rsidRPr="00276B0C" w:rsidRDefault="00276B0C" w:rsidP="00276B0C">
            <w:pPr>
              <w:numPr>
                <w:ilvl w:val="0"/>
                <w:numId w:val="2"/>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 xml:space="preserve">Collaboration is needed among Coast Guard, EPA, CPSC, OSHA, and DOT. DOT has essentially implemented the necessary changes to align with the GHS, and OSHA has published the GHS final rule. However, EPA and CPSC are not making significant progress in implementing the GHS. Although CPSC finalized a revised definition of strong sensitizer, CPSC has stated that GHS implementation is on hold due to other priorities. Non-harmonized issues like HNOCs and combustible dusts add to the cost of doing business internationally. </w:t>
            </w:r>
          </w:p>
          <w:p w:rsidR="00276B0C" w:rsidRPr="00276B0C" w:rsidRDefault="00276B0C" w:rsidP="00276B0C">
            <w:pPr>
              <w:numPr>
                <w:ilvl w:val="0"/>
                <w:numId w:val="3"/>
              </w:numPr>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 xml:space="preserve">As EPA incorporates elements of the GHS into their various regulations ["Protection in the Workplace" (40 CFR 721.63), "Hazard Communication Program" (40 CFR 721.72) and “Agricultural Worker Protection Standard” (40 CFR Part 170)], it should align with OSHA </w:t>
            </w:r>
            <w:proofErr w:type="spellStart"/>
            <w:r w:rsidRPr="00276B0C">
              <w:rPr>
                <w:rFonts w:ascii="Arial" w:eastAsia="Calibri" w:hAnsi="Arial" w:cs="Arial"/>
                <w:sz w:val="20"/>
                <w:szCs w:val="20"/>
                <w:lang w:val="en-AU"/>
              </w:rPr>
              <w:t>HazCom</w:t>
            </w:r>
            <w:proofErr w:type="spellEnd"/>
            <w:r w:rsidRPr="00276B0C">
              <w:rPr>
                <w:rFonts w:ascii="Arial" w:eastAsia="Calibri" w:hAnsi="Arial" w:cs="Arial"/>
                <w:sz w:val="20"/>
                <w:szCs w:val="20"/>
                <w:lang w:val="en-AU"/>
              </w:rPr>
              <w:t xml:space="preserve"> 2012/GHS as closely as possible, e.g., criteria, definitions, classification, SDS, etc. In EPA’s proposed worker protection rule requiring SDSs, the SDSs should have the same classifications, format and information as OSHA HCS 2012 SDSs.</w:t>
            </w:r>
          </w:p>
          <w:p w:rsidR="00276B0C" w:rsidRPr="00276B0C" w:rsidRDefault="00276B0C" w:rsidP="00276B0C">
            <w:pPr>
              <w:numPr>
                <w:ilvl w:val="0"/>
                <w:numId w:val="3"/>
              </w:numPr>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 xml:space="preserve">EPA has recently aligned their EPCRA/SARA 311-312 Tier I/Tier II (40 CFR 370.66) reporting requirements with the new OSHA </w:t>
            </w:r>
            <w:proofErr w:type="spellStart"/>
            <w:r w:rsidRPr="00276B0C">
              <w:rPr>
                <w:rFonts w:ascii="Arial" w:eastAsia="Calibri" w:hAnsi="Arial" w:cs="Arial"/>
                <w:sz w:val="20"/>
                <w:szCs w:val="20"/>
                <w:lang w:val="en-AU"/>
              </w:rPr>
              <w:t>HazCom</w:t>
            </w:r>
            <w:proofErr w:type="spellEnd"/>
            <w:r w:rsidRPr="00276B0C">
              <w:rPr>
                <w:rFonts w:ascii="Arial" w:eastAsia="Calibri" w:hAnsi="Arial" w:cs="Arial"/>
                <w:sz w:val="20"/>
                <w:szCs w:val="20"/>
                <w:lang w:val="en-AU"/>
              </w:rPr>
              <w:t xml:space="preserve"> 2012 hazards.</w:t>
            </w:r>
          </w:p>
          <w:p w:rsidR="00276B0C" w:rsidRPr="00276B0C" w:rsidRDefault="00276B0C" w:rsidP="00276B0C">
            <w:pPr>
              <w:rPr>
                <w:rFonts w:ascii="Arial" w:eastAsia="Calibri" w:hAnsi="Arial" w:cs="Arial"/>
                <w:b/>
                <w:sz w:val="20"/>
                <w:szCs w:val="20"/>
              </w:rPr>
            </w:pPr>
          </w:p>
        </w:tc>
      </w:tr>
      <w:tr w:rsidR="00276B0C" w:rsidRPr="00276B0C" w:rsidTr="00EA12CF">
        <w:tc>
          <w:tcPr>
            <w:tcW w:w="9242" w:type="dxa"/>
          </w:tcPr>
          <w:p w:rsidR="00276B0C" w:rsidRPr="00276B0C" w:rsidRDefault="00276B0C" w:rsidP="00276B0C">
            <w:pPr>
              <w:rPr>
                <w:rFonts w:ascii="Arial" w:eastAsia="Calibri" w:hAnsi="Arial" w:cs="Arial"/>
                <w:sz w:val="20"/>
                <w:szCs w:val="20"/>
              </w:rPr>
            </w:pPr>
            <w:r w:rsidRPr="00276B0C">
              <w:rPr>
                <w:rFonts w:ascii="Arial" w:eastAsia="Calibri" w:hAnsi="Arial" w:cs="Arial"/>
                <w:sz w:val="20"/>
                <w:szCs w:val="20"/>
              </w:rPr>
              <w:lastRenderedPageBreak/>
              <w:t>What are the expected costs for industry in the implementation of GHS?</w:t>
            </w:r>
          </w:p>
        </w:tc>
      </w:tr>
      <w:tr w:rsidR="00276B0C" w:rsidRPr="00276B0C" w:rsidTr="00EA12CF">
        <w:tc>
          <w:tcPr>
            <w:tcW w:w="9242" w:type="dxa"/>
          </w:tcPr>
          <w:p w:rsidR="00276B0C" w:rsidRPr="00276B0C" w:rsidRDefault="00276B0C" w:rsidP="00276B0C">
            <w:pPr>
              <w:rPr>
                <w:rFonts w:ascii="Arial" w:eastAsia="Calibri" w:hAnsi="Arial" w:cs="Arial"/>
                <w:sz w:val="20"/>
                <w:szCs w:val="20"/>
                <w:lang w:val="en-AU"/>
              </w:rPr>
            </w:pPr>
            <w:r w:rsidRPr="00276B0C">
              <w:rPr>
                <w:rFonts w:ascii="Arial" w:eastAsia="Calibri" w:hAnsi="Arial" w:cs="Arial"/>
                <w:sz w:val="20"/>
                <w:szCs w:val="20"/>
                <w:lang w:val="en-AU"/>
              </w:rPr>
              <w:t>It is expected that initial implementation costs for industry will be significant. If harmonization is achieved, then cost savings can be realized in the future.</w:t>
            </w:r>
          </w:p>
          <w:p w:rsidR="00276B0C" w:rsidRPr="00276B0C" w:rsidRDefault="00276B0C" w:rsidP="00276B0C">
            <w:pPr>
              <w:rPr>
                <w:rFonts w:ascii="Arial" w:eastAsia="Calibri" w:hAnsi="Arial" w:cs="Arial"/>
                <w:sz w:val="20"/>
                <w:szCs w:val="20"/>
                <w:lang w:val="en-AU"/>
              </w:rPr>
            </w:pPr>
          </w:p>
          <w:p w:rsidR="00276B0C" w:rsidRPr="00276B0C" w:rsidRDefault="00276B0C" w:rsidP="00276B0C">
            <w:pPr>
              <w:rPr>
                <w:rFonts w:ascii="Arial" w:eastAsia="Calibri" w:hAnsi="Arial" w:cs="Arial"/>
                <w:sz w:val="20"/>
                <w:szCs w:val="20"/>
                <w:lang w:val="en-AU"/>
              </w:rPr>
            </w:pPr>
            <w:r w:rsidRPr="00276B0C">
              <w:rPr>
                <w:rFonts w:ascii="Arial" w:eastAsia="Calibri" w:hAnsi="Arial" w:cs="Arial"/>
                <w:sz w:val="20"/>
                <w:szCs w:val="20"/>
                <w:lang w:val="en-AU"/>
              </w:rPr>
              <w:t>Costs for industry can be reduced by the following:</w:t>
            </w:r>
          </w:p>
          <w:p w:rsidR="00276B0C" w:rsidRPr="00276B0C" w:rsidRDefault="00276B0C" w:rsidP="00276B0C">
            <w:pPr>
              <w:numPr>
                <w:ilvl w:val="0"/>
                <w:numId w:val="1"/>
              </w:numPr>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To achieve the goal of harmonization and reap the associated benefits, governments should align with the GHS as negotiated and seek to implement it in a manner that minimizes differences among countries.</w:t>
            </w:r>
          </w:p>
          <w:p w:rsidR="00276B0C" w:rsidRPr="00276B0C" w:rsidRDefault="00276B0C" w:rsidP="00276B0C">
            <w:pPr>
              <w:numPr>
                <w:ilvl w:val="0"/>
                <w:numId w:val="2"/>
              </w:numPr>
              <w:tabs>
                <w:tab w:val="num" w:pos="-2520"/>
              </w:tabs>
              <w:autoSpaceDE w:val="0"/>
              <w:autoSpaceDN w:val="0"/>
              <w:adjustRightInd w:val="0"/>
              <w:spacing w:after="200" w:line="276" w:lineRule="auto"/>
              <w:rPr>
                <w:rFonts w:ascii="Arial" w:eastAsia="Calibri" w:hAnsi="Arial" w:cs="Arial"/>
                <w:sz w:val="20"/>
                <w:szCs w:val="20"/>
              </w:rPr>
            </w:pPr>
            <w:r w:rsidRPr="00276B0C">
              <w:rPr>
                <w:rFonts w:ascii="Arial" w:eastAsia="Calibri" w:hAnsi="Arial" w:cs="Arial"/>
                <w:sz w:val="20"/>
                <w:szCs w:val="20"/>
                <w:lang w:val="en-AU"/>
              </w:rPr>
              <w:t>Manufacturers should be allowed to use their own precautionary statements in addition to the precautionary statements in the GHS, which should be non-binding suggestions.</w:t>
            </w:r>
          </w:p>
          <w:p w:rsidR="00276B0C" w:rsidRPr="00276B0C" w:rsidRDefault="00276B0C" w:rsidP="00276B0C">
            <w:pPr>
              <w:rPr>
                <w:rFonts w:ascii="Arial" w:eastAsia="Calibri" w:hAnsi="Arial" w:cs="Arial"/>
                <w:b/>
                <w:sz w:val="20"/>
                <w:szCs w:val="20"/>
              </w:rPr>
            </w:pPr>
          </w:p>
        </w:tc>
      </w:tr>
      <w:tr w:rsidR="00131ACC" w:rsidRPr="00276B0C" w:rsidTr="00EA12CF">
        <w:tc>
          <w:tcPr>
            <w:tcW w:w="9242" w:type="dxa"/>
          </w:tcPr>
          <w:p w:rsidR="00276B0C" w:rsidRPr="00276B0C" w:rsidRDefault="00276B0C" w:rsidP="00276B0C">
            <w:pPr>
              <w:rPr>
                <w:rFonts w:ascii="Arial" w:eastAsia="Calibri" w:hAnsi="Arial" w:cs="Arial"/>
                <w:sz w:val="20"/>
                <w:szCs w:val="20"/>
                <w:lang w:val="en-AU"/>
              </w:rPr>
            </w:pPr>
            <w:r w:rsidRPr="00276B0C">
              <w:rPr>
                <w:rFonts w:ascii="Arial" w:eastAsia="Calibri" w:hAnsi="Arial" w:cs="Arial"/>
                <w:sz w:val="20"/>
                <w:szCs w:val="20"/>
                <w:lang w:val="en-AU"/>
              </w:rPr>
              <w:t>If your economy has implemented GHS, is there any difference in expected cost prior to implementation and actual cost post-implementation of GHS?</w:t>
            </w:r>
          </w:p>
        </w:tc>
      </w:tr>
      <w:tr w:rsidR="00131ACC" w:rsidRPr="00276B0C" w:rsidTr="00EA12CF">
        <w:tc>
          <w:tcPr>
            <w:tcW w:w="9242" w:type="dxa"/>
          </w:tcPr>
          <w:p w:rsidR="00276B0C" w:rsidRPr="00276B0C" w:rsidRDefault="00276B0C" w:rsidP="00276B0C">
            <w:pPr>
              <w:rPr>
                <w:rFonts w:ascii="Arial" w:eastAsia="Calibri" w:hAnsi="Arial" w:cs="Arial"/>
                <w:sz w:val="20"/>
                <w:szCs w:val="20"/>
                <w:lang w:val="en-AU"/>
              </w:rPr>
            </w:pPr>
            <w:r w:rsidRPr="00276B0C">
              <w:rPr>
                <w:rFonts w:ascii="Arial" w:eastAsia="Calibri" w:hAnsi="Arial" w:cs="Arial"/>
                <w:sz w:val="20"/>
                <w:szCs w:val="20"/>
                <w:lang w:val="en-AU"/>
              </w:rPr>
              <w:t>The U.S. EPA has not yet implemented the GHS for agricultural chemicals (e.g., pesticides).</w:t>
            </w:r>
          </w:p>
        </w:tc>
      </w:tr>
      <w:tr w:rsidR="00276B0C" w:rsidRPr="00276B0C" w:rsidTr="00EA12CF">
        <w:tc>
          <w:tcPr>
            <w:tcW w:w="9242" w:type="dxa"/>
          </w:tcPr>
          <w:p w:rsidR="00276B0C" w:rsidRPr="00276B0C" w:rsidRDefault="00276B0C" w:rsidP="00276B0C">
            <w:pPr>
              <w:rPr>
                <w:rFonts w:ascii="Arial" w:eastAsia="Calibri" w:hAnsi="Arial" w:cs="Arial"/>
                <w:sz w:val="20"/>
                <w:szCs w:val="20"/>
              </w:rPr>
            </w:pPr>
            <w:r w:rsidRPr="00276B0C">
              <w:rPr>
                <w:rFonts w:ascii="Arial" w:eastAsia="Calibri" w:hAnsi="Arial" w:cs="Arial"/>
                <w:sz w:val="20"/>
                <w:szCs w:val="20"/>
              </w:rPr>
              <w:t>What are the expected benefits for industry through the implementation of GHS?</w:t>
            </w:r>
          </w:p>
        </w:tc>
      </w:tr>
      <w:tr w:rsidR="00276B0C" w:rsidRPr="00276B0C" w:rsidTr="00EA12CF">
        <w:tc>
          <w:tcPr>
            <w:tcW w:w="9242" w:type="dxa"/>
          </w:tcPr>
          <w:p w:rsidR="00276B0C" w:rsidRPr="00276B0C" w:rsidRDefault="00276B0C" w:rsidP="00276B0C">
            <w:pPr>
              <w:autoSpaceDE w:val="0"/>
              <w:autoSpaceDN w:val="0"/>
              <w:adjustRightInd w:val="0"/>
              <w:rPr>
                <w:rFonts w:ascii="Arial" w:eastAsia="Calibri" w:hAnsi="Arial" w:cs="Arial"/>
                <w:sz w:val="20"/>
                <w:szCs w:val="20"/>
                <w:lang w:val="en-AU"/>
              </w:rPr>
            </w:pPr>
            <w:r w:rsidRPr="00276B0C">
              <w:rPr>
                <w:rFonts w:ascii="Arial" w:eastAsia="Calibri" w:hAnsi="Arial" w:cs="Arial"/>
                <w:sz w:val="20"/>
                <w:szCs w:val="20"/>
              </w:rPr>
              <w:t>Expected benefits for industry through the implementation of GHS include:</w:t>
            </w:r>
          </w:p>
          <w:p w:rsidR="00276B0C" w:rsidRPr="00276B0C" w:rsidRDefault="00276B0C" w:rsidP="00276B0C">
            <w:pPr>
              <w:numPr>
                <w:ilvl w:val="0"/>
                <w:numId w:val="2"/>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 xml:space="preserve">Internationally harmonized hazard classification and communication will lead to increased protection, especially as the new hazard pictograms become recognized.  </w:t>
            </w:r>
          </w:p>
          <w:p w:rsidR="00276B0C" w:rsidRPr="00276B0C" w:rsidRDefault="00276B0C" w:rsidP="00276B0C">
            <w:pPr>
              <w:numPr>
                <w:ilvl w:val="0"/>
                <w:numId w:val="2"/>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Standardization will improve training and understanding of hazards.</w:t>
            </w:r>
          </w:p>
          <w:p w:rsidR="00276B0C" w:rsidRPr="00276B0C" w:rsidRDefault="00276B0C" w:rsidP="00276B0C">
            <w:pPr>
              <w:numPr>
                <w:ilvl w:val="0"/>
                <w:numId w:val="2"/>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lastRenderedPageBreak/>
              <w:t xml:space="preserve">Consistent information will improve downstream hazard assessment activities. </w:t>
            </w:r>
          </w:p>
          <w:p w:rsidR="00276B0C" w:rsidRPr="00276B0C" w:rsidRDefault="00276B0C" w:rsidP="00276B0C">
            <w:pPr>
              <w:autoSpaceDE w:val="0"/>
              <w:autoSpaceDN w:val="0"/>
              <w:adjustRightInd w:val="0"/>
              <w:rPr>
                <w:rFonts w:ascii="Arial" w:eastAsia="Calibri" w:hAnsi="Arial" w:cs="Arial"/>
                <w:sz w:val="20"/>
                <w:szCs w:val="20"/>
                <w:lang w:val="en-AU"/>
              </w:rPr>
            </w:pPr>
          </w:p>
          <w:p w:rsidR="00276B0C" w:rsidRPr="00276B0C" w:rsidRDefault="00276B0C" w:rsidP="00276B0C">
            <w:pPr>
              <w:autoSpaceDE w:val="0"/>
              <w:autoSpaceDN w:val="0"/>
              <w:adjustRightInd w:val="0"/>
              <w:rPr>
                <w:rFonts w:ascii="Arial" w:eastAsia="Calibri" w:hAnsi="Arial" w:cs="Arial"/>
                <w:sz w:val="20"/>
                <w:szCs w:val="20"/>
                <w:lang w:val="en-AU"/>
              </w:rPr>
            </w:pPr>
            <w:r w:rsidRPr="00276B0C">
              <w:rPr>
                <w:rFonts w:ascii="Arial" w:eastAsia="Calibri" w:hAnsi="Arial" w:cs="Arial"/>
                <w:sz w:val="20"/>
                <w:szCs w:val="20"/>
                <w:lang w:val="en-AU"/>
              </w:rPr>
              <w:t>The following activities are needed to reduce the potential risks of not achieving benefits:</w:t>
            </w:r>
          </w:p>
          <w:p w:rsidR="00276B0C" w:rsidRPr="00276B0C" w:rsidRDefault="00276B0C" w:rsidP="00276B0C">
            <w:pPr>
              <w:numPr>
                <w:ilvl w:val="0"/>
                <w:numId w:val="2"/>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 xml:space="preserve">Benefits will accrue if the GHS is implemented comprehensively and consistently across industries on a global basis.  </w:t>
            </w:r>
          </w:p>
          <w:p w:rsidR="00276B0C" w:rsidRPr="00276B0C" w:rsidRDefault="00276B0C" w:rsidP="00276B0C">
            <w:pPr>
              <w:numPr>
                <w:ilvl w:val="0"/>
                <w:numId w:val="2"/>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Governments should work together to ensure alignment to the UN endorsed version of the GHS and to minimize country-specific deviations.</w:t>
            </w:r>
          </w:p>
          <w:p w:rsidR="00276B0C" w:rsidRPr="00276B0C" w:rsidRDefault="00276B0C" w:rsidP="00276B0C">
            <w:pPr>
              <w:numPr>
                <w:ilvl w:val="0"/>
                <w:numId w:val="2"/>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Manufacturers should be allowed to use their own precautionary statements in addition to the precautionary statements in the GHS, which should be non-binding suggestions.</w:t>
            </w:r>
          </w:p>
          <w:p w:rsidR="00276B0C" w:rsidRPr="00276B0C" w:rsidRDefault="00276B0C" w:rsidP="00276B0C">
            <w:pPr>
              <w:numPr>
                <w:ilvl w:val="0"/>
                <w:numId w:val="2"/>
              </w:numPr>
              <w:autoSpaceDE w:val="0"/>
              <w:autoSpaceDN w:val="0"/>
              <w:adjustRightInd w:val="0"/>
              <w:spacing w:after="200" w:line="276" w:lineRule="auto"/>
              <w:rPr>
                <w:rFonts w:ascii="Arial" w:eastAsia="Calibri" w:hAnsi="Arial" w:cs="Arial"/>
                <w:sz w:val="20"/>
                <w:szCs w:val="20"/>
                <w:lang w:val="en-AU"/>
              </w:rPr>
            </w:pPr>
            <w:r w:rsidRPr="00276B0C">
              <w:rPr>
                <w:rFonts w:ascii="Arial" w:eastAsia="Calibri" w:hAnsi="Arial" w:cs="Arial"/>
                <w:sz w:val="20"/>
                <w:szCs w:val="20"/>
                <w:lang w:val="en-AU"/>
              </w:rPr>
              <w:t>FAO/WHO information on pesticides that is aligned with the GHS needs to be promoted globally.</w:t>
            </w:r>
          </w:p>
          <w:p w:rsidR="00276B0C" w:rsidRPr="00276B0C" w:rsidRDefault="00276B0C" w:rsidP="00276B0C">
            <w:pPr>
              <w:rPr>
                <w:rFonts w:ascii="Arial" w:eastAsia="Calibri" w:hAnsi="Arial" w:cs="Arial"/>
                <w:sz w:val="20"/>
                <w:szCs w:val="20"/>
              </w:rPr>
            </w:pPr>
          </w:p>
          <w:p w:rsidR="00276B0C" w:rsidRPr="00276B0C" w:rsidRDefault="00276B0C" w:rsidP="00276B0C">
            <w:pPr>
              <w:autoSpaceDE w:val="0"/>
              <w:autoSpaceDN w:val="0"/>
              <w:adjustRightInd w:val="0"/>
              <w:rPr>
                <w:rFonts w:ascii="Arial" w:eastAsia="Calibri" w:hAnsi="Arial" w:cs="Arial"/>
                <w:sz w:val="20"/>
                <w:szCs w:val="20"/>
              </w:rPr>
            </w:pPr>
            <w:r w:rsidRPr="00276B0C">
              <w:rPr>
                <w:rFonts w:ascii="Arial" w:eastAsia="Calibri" w:hAnsi="Arial" w:cs="Arial"/>
                <w:sz w:val="20"/>
                <w:szCs w:val="20"/>
              </w:rPr>
              <w:t>Important current impediments to harmonization include:</w:t>
            </w:r>
          </w:p>
          <w:p w:rsidR="00276B0C" w:rsidRPr="00276B0C" w:rsidRDefault="00276B0C" w:rsidP="00276B0C">
            <w:pPr>
              <w:numPr>
                <w:ilvl w:val="0"/>
                <w:numId w:val="4"/>
              </w:numPr>
              <w:autoSpaceDE w:val="0"/>
              <w:autoSpaceDN w:val="0"/>
              <w:adjustRightInd w:val="0"/>
              <w:spacing w:after="200" w:line="276" w:lineRule="auto"/>
              <w:rPr>
                <w:rFonts w:ascii="Arial" w:eastAsia="Calibri" w:hAnsi="Arial" w:cs="Arial"/>
                <w:sz w:val="20"/>
                <w:szCs w:val="20"/>
              </w:rPr>
            </w:pPr>
            <w:r w:rsidRPr="00276B0C">
              <w:rPr>
                <w:rFonts w:ascii="Arial" w:eastAsia="Calibri" w:hAnsi="Arial" w:cs="Arial"/>
                <w:sz w:val="20"/>
                <w:szCs w:val="20"/>
              </w:rPr>
              <w:t>The differences in GHS mixture classification cutoff values/thresholds between countries; (It might be useful to convene a working group to look at the possibility of providing harmonized GHS mixture classification cutoff values/thresholds.)</w:t>
            </w:r>
          </w:p>
          <w:p w:rsidR="00276B0C" w:rsidRPr="00276B0C" w:rsidRDefault="00276B0C" w:rsidP="00276B0C">
            <w:pPr>
              <w:numPr>
                <w:ilvl w:val="0"/>
                <w:numId w:val="4"/>
              </w:numPr>
              <w:autoSpaceDE w:val="0"/>
              <w:autoSpaceDN w:val="0"/>
              <w:adjustRightInd w:val="0"/>
              <w:spacing w:after="200" w:line="276" w:lineRule="auto"/>
              <w:rPr>
                <w:rFonts w:ascii="Arial" w:eastAsia="Calibri" w:hAnsi="Arial" w:cs="Arial"/>
                <w:sz w:val="20"/>
                <w:szCs w:val="20"/>
              </w:rPr>
            </w:pPr>
            <w:r w:rsidRPr="00276B0C">
              <w:rPr>
                <w:rFonts w:ascii="Arial" w:eastAsia="Calibri" w:hAnsi="Arial" w:cs="Arial"/>
                <w:sz w:val="20"/>
                <w:szCs w:val="20"/>
              </w:rPr>
              <w:t>Different interpretations of how to apply the GHS classification criteria to UVCBs;</w:t>
            </w:r>
          </w:p>
          <w:p w:rsidR="00276B0C" w:rsidRPr="00276B0C" w:rsidRDefault="00276B0C" w:rsidP="00276B0C">
            <w:pPr>
              <w:autoSpaceDE w:val="0"/>
              <w:autoSpaceDN w:val="0"/>
              <w:adjustRightInd w:val="0"/>
              <w:rPr>
                <w:rFonts w:ascii="Arial" w:eastAsia="Calibri" w:hAnsi="Arial" w:cs="Arial"/>
                <w:b/>
                <w:sz w:val="20"/>
                <w:szCs w:val="20"/>
              </w:rPr>
            </w:pPr>
          </w:p>
        </w:tc>
      </w:tr>
      <w:tr w:rsidR="00131ACC" w:rsidRPr="00131ACC" w:rsidTr="00EA12CF">
        <w:tc>
          <w:tcPr>
            <w:tcW w:w="9242" w:type="dxa"/>
          </w:tcPr>
          <w:p w:rsidR="00276B0C" w:rsidRPr="00276B0C" w:rsidRDefault="00276B0C" w:rsidP="00276B0C">
            <w:pPr>
              <w:autoSpaceDE w:val="0"/>
              <w:autoSpaceDN w:val="0"/>
              <w:adjustRightInd w:val="0"/>
              <w:rPr>
                <w:rFonts w:ascii="Arial" w:eastAsia="Calibri" w:hAnsi="Arial" w:cs="Arial"/>
                <w:sz w:val="20"/>
                <w:szCs w:val="20"/>
              </w:rPr>
            </w:pPr>
            <w:r w:rsidRPr="00276B0C">
              <w:rPr>
                <w:rFonts w:ascii="Arial" w:eastAsia="Calibri" w:hAnsi="Arial" w:cs="Arial"/>
                <w:sz w:val="20"/>
                <w:szCs w:val="20"/>
              </w:rPr>
              <w:lastRenderedPageBreak/>
              <w:t>If your economy has implemented GHS, is there a difference in expected benefits prior to implementation and actual benefits post-implementation of GHS?</w:t>
            </w:r>
          </w:p>
        </w:tc>
      </w:tr>
      <w:tr w:rsidR="00131ACC" w:rsidRPr="00131ACC" w:rsidTr="00EA12CF">
        <w:tc>
          <w:tcPr>
            <w:tcW w:w="9242" w:type="dxa"/>
          </w:tcPr>
          <w:p w:rsidR="00276B0C" w:rsidRPr="00276B0C" w:rsidRDefault="00276B0C" w:rsidP="00276B0C">
            <w:pPr>
              <w:autoSpaceDE w:val="0"/>
              <w:autoSpaceDN w:val="0"/>
              <w:adjustRightInd w:val="0"/>
              <w:rPr>
                <w:rFonts w:ascii="Arial" w:eastAsia="Calibri" w:hAnsi="Arial" w:cs="Arial"/>
                <w:sz w:val="20"/>
                <w:szCs w:val="20"/>
              </w:rPr>
            </w:pPr>
            <w:r w:rsidRPr="00276B0C">
              <w:rPr>
                <w:rFonts w:ascii="Arial" w:eastAsia="Calibri" w:hAnsi="Arial" w:cs="Arial"/>
                <w:sz w:val="20"/>
                <w:szCs w:val="20"/>
              </w:rPr>
              <w:t>The U.S. EPA has not yet implemented the GHS for agricultural chemicals (e.g., pesticides).</w:t>
            </w:r>
          </w:p>
        </w:tc>
      </w:tr>
    </w:tbl>
    <w:p w:rsidR="00276B0C" w:rsidRPr="00276B0C" w:rsidRDefault="00276B0C" w:rsidP="00131ACC"/>
    <w:p w:rsidR="00276B0C" w:rsidRDefault="00276B0C"/>
    <w:p w:rsidR="00276B0C" w:rsidRDefault="00276B0C"/>
    <w:sectPr w:rsidR="00276B0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E43" w:rsidRDefault="00F37E43" w:rsidP="00131ACC">
      <w:r>
        <w:separator/>
      </w:r>
    </w:p>
  </w:endnote>
  <w:endnote w:type="continuationSeparator" w:id="0">
    <w:p w:rsidR="00F37E43" w:rsidRDefault="00F37E43" w:rsidP="0013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799647"/>
      <w:docPartObj>
        <w:docPartGallery w:val="Page Numbers (Bottom of Page)"/>
        <w:docPartUnique/>
      </w:docPartObj>
    </w:sdtPr>
    <w:sdtEndPr>
      <w:rPr>
        <w:noProof/>
      </w:rPr>
    </w:sdtEndPr>
    <w:sdtContent>
      <w:p w:rsidR="00131ACC" w:rsidRDefault="00131ACC">
        <w:pPr>
          <w:pStyle w:val="Footer"/>
          <w:jc w:val="center"/>
        </w:pPr>
        <w:r>
          <w:fldChar w:fldCharType="begin"/>
        </w:r>
        <w:r>
          <w:instrText xml:space="preserve"> PAGE   \* MERGEFORMAT </w:instrText>
        </w:r>
        <w:r>
          <w:fldChar w:fldCharType="separate"/>
        </w:r>
        <w:r w:rsidR="00B04AB6">
          <w:rPr>
            <w:noProof/>
          </w:rPr>
          <w:t>3</w:t>
        </w:r>
        <w:r>
          <w:rPr>
            <w:noProof/>
          </w:rPr>
          <w:fldChar w:fldCharType="end"/>
        </w:r>
      </w:p>
    </w:sdtContent>
  </w:sdt>
  <w:p w:rsidR="00131ACC" w:rsidRDefault="00131A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E43" w:rsidRDefault="00F37E43" w:rsidP="00131ACC">
      <w:r>
        <w:separator/>
      </w:r>
    </w:p>
  </w:footnote>
  <w:footnote w:type="continuationSeparator" w:id="0">
    <w:p w:rsidR="00F37E43" w:rsidRDefault="00F37E43" w:rsidP="00131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9366C"/>
    <w:multiLevelType w:val="hybridMultilevel"/>
    <w:tmpl w:val="0DE0CD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3C848FF"/>
    <w:multiLevelType w:val="hybridMultilevel"/>
    <w:tmpl w:val="D85A95DE"/>
    <w:lvl w:ilvl="0" w:tplc="53463BB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D941974"/>
    <w:multiLevelType w:val="hybridMultilevel"/>
    <w:tmpl w:val="481A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BB23EC"/>
    <w:multiLevelType w:val="hybridMultilevel"/>
    <w:tmpl w:val="B9E03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B0C"/>
    <w:rsid w:val="00131ACC"/>
    <w:rsid w:val="00276B0C"/>
    <w:rsid w:val="00385A1E"/>
    <w:rsid w:val="003E2220"/>
    <w:rsid w:val="006267F0"/>
    <w:rsid w:val="00731EEA"/>
    <w:rsid w:val="00735CA5"/>
    <w:rsid w:val="00B04AB6"/>
    <w:rsid w:val="00CF3B6F"/>
    <w:rsid w:val="00EC3CAC"/>
    <w:rsid w:val="00F3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12EA26-A036-4304-B9DA-C796BD5B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1ACC"/>
    <w:pPr>
      <w:tabs>
        <w:tab w:val="center" w:pos="4680"/>
        <w:tab w:val="right" w:pos="9360"/>
      </w:tabs>
    </w:pPr>
  </w:style>
  <w:style w:type="character" w:customStyle="1" w:styleId="HeaderChar">
    <w:name w:val="Header Char"/>
    <w:basedOn w:val="DefaultParagraphFont"/>
    <w:link w:val="Header"/>
    <w:uiPriority w:val="99"/>
    <w:rsid w:val="00131ACC"/>
  </w:style>
  <w:style w:type="paragraph" w:styleId="Footer">
    <w:name w:val="footer"/>
    <w:basedOn w:val="Normal"/>
    <w:link w:val="FooterChar"/>
    <w:uiPriority w:val="99"/>
    <w:unhideWhenUsed/>
    <w:rsid w:val="00131ACC"/>
    <w:pPr>
      <w:tabs>
        <w:tab w:val="center" w:pos="4680"/>
        <w:tab w:val="right" w:pos="9360"/>
      </w:tabs>
    </w:pPr>
  </w:style>
  <w:style w:type="character" w:customStyle="1" w:styleId="FooterChar">
    <w:name w:val="Footer Char"/>
    <w:basedOn w:val="DefaultParagraphFont"/>
    <w:link w:val="Footer"/>
    <w:uiPriority w:val="99"/>
    <w:rsid w:val="00131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1008</Words>
  <Characters>6404</Characters>
  <Application>Microsoft Office Word</Application>
  <DocSecurity>0</DocSecurity>
  <Lines>139</Lines>
  <Paragraphs>28</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dc:creator>
  <cp:lastModifiedBy>Catherine Oh</cp:lastModifiedBy>
  <cp:revision>2</cp:revision>
  <dcterms:created xsi:type="dcterms:W3CDTF">2017-01-26T23:40:00Z</dcterms:created>
  <dcterms:modified xsi:type="dcterms:W3CDTF">2017-01-26T23:40:00Z</dcterms:modified>
</cp:coreProperties>
</file>